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p>
    <w:p>
      <w:pPr>
        <w:spacing w:line="560" w:lineRule="exact"/>
        <w:rPr>
          <w:rFonts w:eastAsia="方正仿宋_GBK" w:cs="方正仿宋_GBK"/>
          <w:color w:val="auto"/>
          <w:sz w:val="44"/>
          <w:szCs w:val="44"/>
        </w:rPr>
      </w:pPr>
    </w:p>
    <w:p>
      <w:pPr>
        <w:spacing w:line="560" w:lineRule="exact"/>
        <w:jc w:val="center"/>
        <w:rPr>
          <w:rFonts w:ascii="方正公文小标宋" w:hAnsi="方正公文小标宋" w:eastAsia="方正公文小标宋" w:cs="方正公文小标宋"/>
          <w:color w:val="auto"/>
          <w:sz w:val="44"/>
          <w:szCs w:val="44"/>
        </w:rPr>
      </w:pPr>
      <w:bookmarkStart w:id="0" w:name="_GoBack"/>
      <w:r>
        <w:rPr>
          <w:rFonts w:hint="eastAsia" w:ascii="方正公文小标宋" w:hAnsi="方正公文小标宋" w:eastAsia="方正公文小标宋" w:cs="方正公文小标宋"/>
          <w:color w:val="auto"/>
          <w:sz w:val="44"/>
          <w:szCs w:val="44"/>
        </w:rPr>
        <w:t>创作舞蹈《巴山夜雨》采购文</w:t>
      </w:r>
      <w:bookmarkEnd w:id="0"/>
      <w:r>
        <w:rPr>
          <w:rFonts w:hint="eastAsia" w:ascii="方正公文小标宋" w:hAnsi="方正公文小标宋" w:eastAsia="方正公文小标宋" w:cs="方正公文小标宋"/>
          <w:color w:val="auto"/>
          <w:sz w:val="44"/>
          <w:szCs w:val="44"/>
        </w:rPr>
        <w:t>件</w:t>
      </w:r>
    </w:p>
    <w:p>
      <w:pPr>
        <w:spacing w:line="560" w:lineRule="exact"/>
        <w:rPr>
          <w:rFonts w:eastAsia="方正仿宋_GBK" w:cs="方正仿宋_GBK"/>
          <w:color w:val="auto"/>
          <w:sz w:val="44"/>
          <w:szCs w:val="44"/>
        </w:rPr>
      </w:pPr>
    </w:p>
    <w:p>
      <w:pPr>
        <w:ind w:left="640"/>
        <w:rPr>
          <w:rFonts w:eastAsia="黑体" w:cs="Times New Roman"/>
          <w:bCs/>
          <w:color w:val="auto"/>
          <w:sz w:val="32"/>
          <w:szCs w:val="32"/>
        </w:rPr>
      </w:pPr>
      <w:r>
        <w:rPr>
          <w:rFonts w:hint="eastAsia" w:eastAsia="黑体" w:cs="Times New Roman"/>
          <w:bCs/>
          <w:color w:val="auto"/>
          <w:sz w:val="32"/>
          <w:szCs w:val="32"/>
        </w:rPr>
        <w:t>一、采购单位</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巴中市文化广播电视体育和旅游局</w:t>
      </w:r>
    </w:p>
    <w:p>
      <w:pPr>
        <w:ind w:left="640"/>
        <w:rPr>
          <w:rFonts w:eastAsia="黑体" w:cs="Times New Roman"/>
          <w:bCs/>
          <w:color w:val="auto"/>
          <w:sz w:val="32"/>
          <w:szCs w:val="32"/>
        </w:rPr>
      </w:pPr>
      <w:r>
        <w:rPr>
          <w:rFonts w:hint="eastAsia" w:eastAsia="黑体" w:cs="Times New Roman"/>
          <w:bCs/>
          <w:color w:val="auto"/>
          <w:sz w:val="32"/>
          <w:szCs w:val="32"/>
        </w:rPr>
        <w:t>二、采购项目名称</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创作舞蹈《巴山夜雨》</w:t>
      </w:r>
    </w:p>
    <w:p>
      <w:pPr>
        <w:ind w:left="640"/>
        <w:rPr>
          <w:rFonts w:eastAsia="黑体" w:cs="Times New Roman"/>
          <w:bCs/>
          <w:color w:val="auto"/>
          <w:sz w:val="32"/>
          <w:szCs w:val="32"/>
        </w:rPr>
      </w:pPr>
      <w:r>
        <w:rPr>
          <w:rFonts w:hint="eastAsia" w:eastAsia="黑体" w:cs="Times New Roman"/>
          <w:bCs/>
          <w:color w:val="auto"/>
          <w:sz w:val="32"/>
          <w:szCs w:val="32"/>
        </w:rPr>
        <w:t>三、资金预算</w:t>
      </w:r>
    </w:p>
    <w:p>
      <w:pPr>
        <w:pStyle w:val="3"/>
        <w:spacing w:before="0" w:after="0" w:line="540" w:lineRule="exact"/>
        <w:ind w:firstLine="640" w:firstLineChars="200"/>
        <w:rPr>
          <w:rFonts w:eastAsia="仿宋_GB2312" w:cs="Times New Roman"/>
          <w:b w:val="0"/>
          <w:bCs w:val="0"/>
          <w:color w:val="auto"/>
        </w:rPr>
      </w:pPr>
      <w:r>
        <w:rPr>
          <w:rFonts w:hint="eastAsia" w:eastAsia="仿宋_GB2312" w:cs="Times New Roman"/>
          <w:b w:val="0"/>
          <w:bCs w:val="0"/>
          <w:color w:val="auto"/>
        </w:rPr>
        <w:t>150000.00元（大写：</w:t>
      </w:r>
      <w:r>
        <w:rPr>
          <w:rFonts w:hint="eastAsia" w:eastAsia="仿宋_GB2312" w:cs="Times New Roman"/>
          <w:b w:val="0"/>
          <w:bCs w:val="0"/>
          <w:color w:val="auto"/>
          <w:lang w:eastAsia="zh-CN"/>
        </w:rPr>
        <w:t>壹拾伍万元整</w:t>
      </w:r>
      <w:r>
        <w:rPr>
          <w:rFonts w:hint="eastAsia" w:eastAsia="仿宋_GB2312" w:cs="Times New Roman"/>
          <w:b w:val="0"/>
          <w:bCs w:val="0"/>
          <w:color w:val="auto"/>
        </w:rPr>
        <w:t>）</w:t>
      </w:r>
    </w:p>
    <w:p>
      <w:pPr>
        <w:ind w:left="640"/>
        <w:rPr>
          <w:rFonts w:eastAsia="黑体" w:cs="Times New Roman"/>
          <w:bCs/>
          <w:color w:val="auto"/>
          <w:sz w:val="32"/>
          <w:szCs w:val="32"/>
        </w:rPr>
      </w:pPr>
      <w:r>
        <w:rPr>
          <w:rFonts w:hint="eastAsia" w:eastAsia="黑体" w:cs="Times New Roman"/>
          <w:bCs/>
          <w:color w:val="auto"/>
          <w:sz w:val="32"/>
          <w:szCs w:val="32"/>
        </w:rPr>
        <w:t>四、资金来源</w:t>
      </w:r>
    </w:p>
    <w:p>
      <w:pPr>
        <w:spacing w:line="560" w:lineRule="exact"/>
        <w:ind w:firstLine="640" w:firstLineChars="200"/>
        <w:rPr>
          <w:rFonts w:ascii="黑体" w:hAnsi="黑体" w:eastAsia="黑体"/>
          <w:bCs/>
          <w:color w:val="auto"/>
          <w:sz w:val="32"/>
          <w:szCs w:val="32"/>
        </w:rPr>
      </w:pPr>
      <w:r>
        <w:rPr>
          <w:rFonts w:hint="eastAsia" w:eastAsia="仿宋_GB2312"/>
          <w:color w:val="auto"/>
          <w:sz w:val="32"/>
          <w:szCs w:val="32"/>
        </w:rPr>
        <w:t>省级公共文化服务体系建设补助资金</w:t>
      </w:r>
    </w:p>
    <w:p>
      <w:pPr>
        <w:ind w:left="640"/>
        <w:rPr>
          <w:rFonts w:eastAsia="黑体" w:cs="Times New Roman"/>
          <w:bCs/>
          <w:color w:val="auto"/>
          <w:sz w:val="32"/>
          <w:szCs w:val="32"/>
        </w:rPr>
      </w:pPr>
      <w:r>
        <w:rPr>
          <w:rFonts w:hint="eastAsia" w:eastAsia="黑体" w:cs="Times New Roman"/>
          <w:bCs/>
          <w:color w:val="auto"/>
          <w:sz w:val="32"/>
          <w:szCs w:val="32"/>
        </w:rPr>
        <w:t>五、项目概述</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舞蹈《巴山夜雨》</w:t>
      </w:r>
      <w:r>
        <w:rPr>
          <w:rFonts w:hint="eastAsia" w:eastAsia="仿宋_GB2312" w:cs="Times New Roman"/>
          <w:color w:val="auto"/>
          <w:sz w:val="32"/>
          <w:szCs w:val="32"/>
          <w:lang w:val="en-US" w:eastAsia="zh-CN"/>
        </w:rPr>
        <w:t>计划</w:t>
      </w:r>
      <w:r>
        <w:rPr>
          <w:rFonts w:hint="eastAsia" w:eastAsia="仿宋_GB2312" w:cs="Times New Roman"/>
          <w:color w:val="auto"/>
          <w:sz w:val="32"/>
          <w:szCs w:val="32"/>
        </w:rPr>
        <w:t>以晚唐著名诗人李商隐的《夜雨寄北》为线索，主要表现古巴人身处巴山倾听秋雨时的寂寥之苦和来日聚首之时幸福欢乐的生活场景。</w:t>
      </w:r>
      <w:r>
        <w:rPr>
          <w:rFonts w:eastAsia="仿宋_GB2312" w:cs="Times New Roman"/>
          <w:color w:val="auto"/>
          <w:sz w:val="32"/>
          <w:szCs w:val="32"/>
        </w:rPr>
        <w:t>承接该舞蹈《巴山夜雨》的整体创作打造，负责舞蹈创排、训练合成、音乐制作、服装道具制作等。项目须于2024年11月10日前按照采购要求完成。</w:t>
      </w:r>
    </w:p>
    <w:p>
      <w:pPr>
        <w:ind w:left="640"/>
        <w:rPr>
          <w:rFonts w:eastAsia="黑体" w:cs="Times New Roman"/>
          <w:bCs/>
          <w:color w:val="auto"/>
          <w:sz w:val="32"/>
          <w:szCs w:val="32"/>
        </w:rPr>
      </w:pPr>
      <w:r>
        <w:rPr>
          <w:rFonts w:hint="eastAsia" w:eastAsia="黑体" w:cs="Times New Roman"/>
          <w:bCs/>
          <w:color w:val="auto"/>
          <w:sz w:val="32"/>
          <w:szCs w:val="32"/>
        </w:rPr>
        <w:t>六、采购要求</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（一）组织业内具备国家二级</w:t>
      </w:r>
      <w:r>
        <w:rPr>
          <w:rFonts w:eastAsia="仿宋_GB2312" w:cs="Times New Roman"/>
          <w:color w:val="auto"/>
          <w:sz w:val="32"/>
          <w:szCs w:val="32"/>
        </w:rPr>
        <w:t>及</w:t>
      </w:r>
      <w:r>
        <w:rPr>
          <w:rFonts w:hint="eastAsia" w:eastAsia="仿宋_GB2312" w:cs="Times New Roman"/>
          <w:color w:val="auto"/>
          <w:sz w:val="32"/>
          <w:szCs w:val="32"/>
        </w:rPr>
        <w:t>以上导演、作曲资质或在本行业具有一定影响力，获得省级及以上奖项或承担省级以上研究课题的专家，围绕舞蹈《巴山夜雨》召开创作研讨会</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听取</w:t>
      </w:r>
      <w:r>
        <w:rPr>
          <w:rFonts w:eastAsia="仿宋_GB2312" w:cs="Times New Roman"/>
          <w:color w:val="auto"/>
          <w:sz w:val="32"/>
          <w:szCs w:val="32"/>
          <w:lang w:val="en-US" w:eastAsia="zh-CN"/>
        </w:rPr>
        <w:t>行业</w:t>
      </w:r>
      <w:r>
        <w:rPr>
          <w:rFonts w:hint="eastAsia" w:eastAsia="仿宋_GB2312" w:cs="Times New Roman"/>
          <w:color w:val="auto"/>
          <w:sz w:val="32"/>
          <w:szCs w:val="32"/>
          <w:lang w:val="en-US" w:eastAsia="zh-CN"/>
        </w:rPr>
        <w:t>专家、本地学者、文化骨干等多方建议</w:t>
      </w:r>
      <w:r>
        <w:rPr>
          <w:rFonts w:hint="eastAsia" w:eastAsia="仿宋_GB2312" w:cs="Times New Roman"/>
          <w:color w:val="auto"/>
          <w:sz w:val="32"/>
          <w:szCs w:val="32"/>
        </w:rPr>
        <w:t>创作舞蹈《巴山夜雨》</w:t>
      </w:r>
      <w:r>
        <w:rPr>
          <w:rFonts w:hint="eastAsia" w:eastAsia="仿宋_GB2312" w:cs="Times New Roman"/>
          <w:color w:val="auto"/>
          <w:sz w:val="32"/>
          <w:szCs w:val="32"/>
          <w:lang w:val="en-US" w:eastAsia="zh-CN"/>
        </w:rPr>
        <w:t>脚本</w:t>
      </w:r>
      <w:r>
        <w:rPr>
          <w:rFonts w:hint="eastAsia" w:eastAsia="仿宋_GB2312" w:cs="Times New Roman"/>
          <w:color w:val="auto"/>
          <w:sz w:val="32"/>
          <w:szCs w:val="32"/>
        </w:rPr>
        <w:t>。</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（二）完成舞蹈《巴山夜雨》整体创作，提供不少于2名具备国家二级</w:t>
      </w:r>
      <w:r>
        <w:rPr>
          <w:rFonts w:hint="eastAsia" w:eastAsia="仿宋_GB2312" w:cs="Times New Roman"/>
          <w:color w:val="auto"/>
          <w:sz w:val="32"/>
          <w:szCs w:val="32"/>
          <w:lang w:val="en-US" w:eastAsia="zh-CN"/>
        </w:rPr>
        <w:t>及</w:t>
      </w:r>
      <w:r>
        <w:rPr>
          <w:rFonts w:hint="eastAsia" w:eastAsia="仿宋_GB2312" w:cs="Times New Roman"/>
          <w:color w:val="auto"/>
          <w:sz w:val="32"/>
          <w:szCs w:val="32"/>
        </w:rPr>
        <w:t>以上导演、作曲资质或在本行业具有一定影响力，获得省级及以上奖项或承担省级以上研究课题的专业人员对作品进行创作排练，排练次数不少于12次</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每次时长不少于</w:t>
      </w:r>
      <w:r>
        <w:rPr>
          <w:rFonts w:eastAsia="仿宋_GB2312" w:cs="Times New Roman"/>
          <w:color w:val="auto"/>
          <w:sz w:val="32"/>
          <w:szCs w:val="32"/>
          <w:lang w:val="en-US" w:eastAsia="zh-CN"/>
        </w:rPr>
        <w:t>8小时。</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w:t>
      </w:r>
      <w:r>
        <w:rPr>
          <w:rFonts w:hint="eastAsia" w:eastAsia="仿宋_GB2312" w:cs="Times New Roman"/>
          <w:color w:val="auto"/>
          <w:sz w:val="32"/>
          <w:szCs w:val="32"/>
          <w:lang w:val="en-US" w:eastAsia="zh-CN"/>
        </w:rPr>
        <w:t>三</w:t>
      </w:r>
      <w:r>
        <w:rPr>
          <w:rFonts w:hint="eastAsia" w:eastAsia="仿宋_GB2312" w:cs="Times New Roman"/>
          <w:color w:val="auto"/>
          <w:sz w:val="32"/>
          <w:szCs w:val="32"/>
        </w:rPr>
        <w:t>）根据舞蹈《巴山夜雨》创作需要进行音乐创编、制作、录音、合成，完成不少于</w:t>
      </w:r>
      <w:r>
        <w:rPr>
          <w:rFonts w:eastAsia="仿宋_GB2312" w:cs="Times New Roman"/>
          <w:color w:val="auto"/>
          <w:sz w:val="32"/>
          <w:szCs w:val="32"/>
        </w:rPr>
        <w:t>6</w:t>
      </w:r>
      <w:r>
        <w:rPr>
          <w:rFonts w:hint="eastAsia" w:eastAsia="仿宋_GB2312" w:cs="Times New Roman"/>
          <w:color w:val="auto"/>
          <w:sz w:val="32"/>
          <w:szCs w:val="32"/>
        </w:rPr>
        <w:t>分钟的舞蹈音乐1首。</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w:t>
      </w:r>
      <w:r>
        <w:rPr>
          <w:rFonts w:hint="eastAsia" w:eastAsia="仿宋_GB2312" w:cs="Times New Roman"/>
          <w:color w:val="auto"/>
          <w:sz w:val="32"/>
          <w:szCs w:val="32"/>
          <w:lang w:val="en-US" w:eastAsia="zh-CN"/>
        </w:rPr>
        <w:t>四</w:t>
      </w:r>
      <w:r>
        <w:rPr>
          <w:rFonts w:hint="eastAsia" w:eastAsia="仿宋_GB2312" w:cs="Times New Roman"/>
          <w:color w:val="auto"/>
          <w:sz w:val="32"/>
          <w:szCs w:val="32"/>
        </w:rPr>
        <w:t>）根据舞蹈《巴山夜雨》创作需要进行服装、道具设计，</w:t>
      </w:r>
      <w:r>
        <w:rPr>
          <w:rFonts w:hint="eastAsia" w:eastAsia="仿宋_GB2312" w:cs="Times New Roman"/>
          <w:color w:val="auto"/>
          <w:sz w:val="32"/>
          <w:szCs w:val="32"/>
          <w:lang w:val="en-US" w:eastAsia="zh-CN"/>
        </w:rPr>
        <w:t>并制作参与舞蹈表演相应人数的</w:t>
      </w:r>
      <w:r>
        <w:rPr>
          <w:rFonts w:hint="eastAsia" w:eastAsia="仿宋_GB2312" w:cs="Times New Roman"/>
          <w:color w:val="auto"/>
          <w:sz w:val="32"/>
          <w:szCs w:val="32"/>
        </w:rPr>
        <w:t>服装</w:t>
      </w:r>
      <w:r>
        <w:rPr>
          <w:rFonts w:hint="eastAsia" w:eastAsia="仿宋_GB2312" w:cs="Times New Roman"/>
          <w:color w:val="auto"/>
          <w:sz w:val="32"/>
          <w:szCs w:val="32"/>
          <w:lang w:eastAsia="zh-CN"/>
        </w:rPr>
        <w:t>、</w:t>
      </w:r>
      <w:r>
        <w:rPr>
          <w:rFonts w:hint="eastAsia" w:eastAsia="仿宋_GB2312" w:cs="Times New Roman"/>
          <w:color w:val="auto"/>
          <w:sz w:val="32"/>
          <w:szCs w:val="32"/>
        </w:rPr>
        <w:t>道具。</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w:t>
      </w:r>
      <w:r>
        <w:rPr>
          <w:rFonts w:hint="eastAsia" w:eastAsia="仿宋_GB2312" w:cs="Times New Roman"/>
          <w:color w:val="auto"/>
          <w:sz w:val="32"/>
          <w:szCs w:val="32"/>
          <w:lang w:val="en-US" w:eastAsia="zh-CN"/>
        </w:rPr>
        <w:t>五</w:t>
      </w:r>
      <w:r>
        <w:rPr>
          <w:rFonts w:hint="eastAsia" w:eastAsia="仿宋_GB2312" w:cs="Times New Roman"/>
          <w:color w:val="auto"/>
          <w:sz w:val="32"/>
          <w:szCs w:val="32"/>
        </w:rPr>
        <w:t>）提供1名具有</w:t>
      </w:r>
      <w:r>
        <w:rPr>
          <w:rFonts w:hint="eastAsia" w:eastAsia="仿宋_GB2312" w:cs="Times New Roman"/>
          <w:color w:val="auto"/>
          <w:sz w:val="32"/>
          <w:szCs w:val="32"/>
          <w:lang w:val="en-US" w:eastAsia="zh-CN"/>
        </w:rPr>
        <w:t>丰富</w:t>
      </w:r>
      <w:r>
        <w:rPr>
          <w:rFonts w:hint="eastAsia" w:eastAsia="仿宋_GB2312" w:cs="Times New Roman"/>
          <w:color w:val="auto"/>
          <w:sz w:val="32"/>
          <w:szCs w:val="32"/>
        </w:rPr>
        <w:t>舞蹈排练经验的专业人员，在创作排练期间开展演员日常训练。</w:t>
      </w:r>
    </w:p>
    <w:p>
      <w:pPr>
        <w:spacing w:line="560" w:lineRule="exact"/>
        <w:ind w:firstLine="640" w:firstLineChars="200"/>
        <w:rPr>
          <w:rFonts w:eastAsia="仿宋_GB2312" w:cs="Times New Roman"/>
          <w:color w:val="auto"/>
          <w:sz w:val="32"/>
          <w:szCs w:val="32"/>
          <w:lang w:val="en-US" w:eastAsia="zh-CN"/>
        </w:rPr>
      </w:pPr>
      <w:r>
        <w:rPr>
          <w:rFonts w:hint="eastAsia" w:eastAsia="仿宋_GB2312" w:cs="Times New Roman"/>
          <w:color w:val="auto"/>
          <w:sz w:val="32"/>
          <w:szCs w:val="32"/>
        </w:rPr>
        <w:t>（</w:t>
      </w:r>
      <w:r>
        <w:rPr>
          <w:rFonts w:hint="eastAsia" w:eastAsia="仿宋_GB2312" w:cs="Times New Roman"/>
          <w:color w:val="auto"/>
          <w:sz w:val="32"/>
          <w:szCs w:val="32"/>
          <w:lang w:val="en-US" w:eastAsia="zh-CN"/>
        </w:rPr>
        <w:t>六</w:t>
      </w:r>
      <w:r>
        <w:rPr>
          <w:rFonts w:hint="eastAsia" w:eastAsia="仿宋_GB2312" w:cs="Times New Roman"/>
          <w:color w:val="auto"/>
          <w:sz w:val="32"/>
          <w:szCs w:val="32"/>
        </w:rPr>
        <w:t>）创作完成后，提供舞蹈《巴山夜雨》完整视频资料1份</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组织参加线下展演活动1次，并提供展演图片2张，3分钟以上短视频1份。</w:t>
      </w:r>
    </w:p>
    <w:p>
      <w:pPr>
        <w:spacing w:line="560" w:lineRule="exact"/>
        <w:ind w:left="640"/>
        <w:rPr>
          <w:rFonts w:eastAsia="黑体" w:cs="Times New Roman"/>
          <w:bCs/>
          <w:color w:val="auto"/>
          <w:sz w:val="32"/>
          <w:szCs w:val="32"/>
        </w:rPr>
      </w:pPr>
      <w:r>
        <w:rPr>
          <w:rFonts w:hint="eastAsia" w:eastAsia="黑体" w:cs="Times New Roman"/>
          <w:bCs/>
          <w:color w:val="auto"/>
          <w:sz w:val="32"/>
          <w:szCs w:val="32"/>
        </w:rPr>
        <w:t>七、磋商要求</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（一）参与磋商的供应商为法人或者其他组织的，需提供单位介绍信、经办人身份证明。（注：以上资料均须加盖投标单位鲜章）。</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（二）供应商递交响应文件的截止时间为202</w:t>
      </w:r>
      <w:r>
        <w:rPr>
          <w:rFonts w:eastAsia="仿宋_GB2312" w:cs="Times New Roman"/>
          <w:color w:val="auto"/>
          <w:sz w:val="32"/>
          <w:szCs w:val="32"/>
        </w:rPr>
        <w:t>4</w:t>
      </w:r>
      <w:r>
        <w:rPr>
          <w:rFonts w:hint="eastAsia" w:eastAsia="仿宋_GB2312" w:cs="Times New Roman"/>
          <w:color w:val="auto"/>
          <w:sz w:val="32"/>
          <w:szCs w:val="32"/>
        </w:rPr>
        <w:t>年6月17日18：00。所有响应文件应密封并在磋商现场拆封，逾期送达、未密封和标注错误的响应文件，采购单位概不接收。</w:t>
      </w:r>
    </w:p>
    <w:p>
      <w:pPr>
        <w:spacing w:line="560" w:lineRule="exact"/>
        <w:ind w:left="640"/>
        <w:rPr>
          <w:rFonts w:eastAsia="黑体" w:cs="Times New Roman"/>
          <w:bCs/>
          <w:color w:val="auto"/>
          <w:sz w:val="32"/>
          <w:szCs w:val="32"/>
        </w:rPr>
      </w:pPr>
      <w:r>
        <w:rPr>
          <w:rFonts w:hint="eastAsia" w:eastAsia="黑体" w:cs="Times New Roman"/>
          <w:bCs/>
          <w:color w:val="auto"/>
          <w:sz w:val="32"/>
          <w:szCs w:val="32"/>
        </w:rPr>
        <w:t>八、报价</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（一）所有报价一律以人民币报价。采购人不接受任何非人民币币种的报价。</w:t>
      </w:r>
    </w:p>
    <w:p>
      <w:pPr>
        <w:spacing w:line="560" w:lineRule="exact"/>
        <w:ind w:firstLine="640" w:firstLineChars="200"/>
        <w:rPr>
          <w:rFonts w:eastAsia="仿宋_GB2312" w:cs="Times New Roman"/>
          <w:color w:val="auto"/>
          <w:sz w:val="32"/>
          <w:szCs w:val="32"/>
        </w:rPr>
      </w:pPr>
      <w:r>
        <w:rPr>
          <w:rFonts w:hint="eastAsia" w:eastAsia="仿宋_GB2312" w:cs="Times New Roman"/>
          <w:color w:val="auto"/>
          <w:sz w:val="32"/>
          <w:szCs w:val="32"/>
        </w:rPr>
        <w:t>（二）供应商报价应为完成本竞争性磋商文件中所要求的服务所应包括内容的所有价格。</w:t>
      </w:r>
    </w:p>
    <w:p>
      <w:pPr>
        <w:spacing w:line="560" w:lineRule="exact"/>
        <w:ind w:left="640"/>
        <w:rPr>
          <w:rFonts w:eastAsia="黑体" w:cs="Times New Roman"/>
          <w:bCs/>
          <w:color w:val="auto"/>
          <w:sz w:val="32"/>
          <w:szCs w:val="32"/>
        </w:rPr>
      </w:pPr>
      <w:r>
        <w:rPr>
          <w:rFonts w:hint="eastAsia" w:eastAsia="黑体" w:cs="Times New Roman"/>
          <w:bCs/>
          <w:color w:val="auto"/>
          <w:sz w:val="32"/>
          <w:szCs w:val="32"/>
        </w:rPr>
        <w:t>九、响应文件</w:t>
      </w:r>
    </w:p>
    <w:p>
      <w:pPr>
        <w:spacing w:line="560" w:lineRule="exact"/>
        <w:ind w:firstLine="640" w:firstLineChars="200"/>
        <w:rPr>
          <w:rFonts w:eastAsia="仿宋_GB2312" w:cs="Times New Roman"/>
          <w:color w:val="auto"/>
          <w:sz w:val="32"/>
          <w:szCs w:val="32"/>
        </w:rPr>
      </w:pPr>
      <w:r>
        <w:rPr>
          <w:rFonts w:eastAsia="仿宋_GB2312" w:cs="Times New Roman"/>
          <w:color w:val="auto"/>
          <w:sz w:val="32"/>
          <w:szCs w:val="32"/>
        </w:rPr>
        <w:t>（一）①供应商若为企业法人：提供“统一社会信用代码营业执照”；②若为事业法人：提供“统一社会信用代码法人登记证书”；③若为其他组织：提供“对应主管部门颁发的准许执业证明文件或营业执照”；④若为自然人：提供“身份证复印件”。⑤供应商属于银行、保险、石油石化、电力、电信、移动、联通、广电等有行业特殊情况的，可提供企业分支机构统一社会信用代码的营业执照（复印件）及其他企业分支机构证明文件，法定代表人签署和授权可由分支机构负责人签署和授权。（以上均提供复印件）</w:t>
      </w:r>
    </w:p>
    <w:p>
      <w:pPr>
        <w:spacing w:line="560" w:lineRule="exact"/>
        <w:ind w:firstLine="640" w:firstLineChars="200"/>
        <w:rPr>
          <w:rFonts w:eastAsia="仿宋_GB2312" w:cs="Times New Roman"/>
          <w:color w:val="auto"/>
          <w:sz w:val="32"/>
          <w:szCs w:val="32"/>
        </w:rPr>
      </w:pPr>
      <w:r>
        <w:rPr>
          <w:rFonts w:eastAsia="仿宋_GB2312" w:cs="Times New Roman"/>
          <w:color w:val="auto"/>
          <w:sz w:val="32"/>
          <w:szCs w:val="32"/>
        </w:rPr>
        <w:t>（二）法定代表人/负责人授权书或法定代表人/负责人身份证明。</w:t>
      </w:r>
    </w:p>
    <w:p>
      <w:pPr>
        <w:spacing w:line="560" w:lineRule="exact"/>
        <w:ind w:firstLine="640" w:firstLineChars="200"/>
        <w:jc w:val="left"/>
        <w:rPr>
          <w:rFonts w:eastAsia="仿宋_GB2312" w:cs="Times New Roman"/>
          <w:color w:val="auto"/>
          <w:sz w:val="32"/>
          <w:szCs w:val="32"/>
        </w:rPr>
      </w:pPr>
      <w:r>
        <w:rPr>
          <w:rFonts w:eastAsia="仿宋_GB2312" w:cs="Times New Roman"/>
          <w:color w:val="auto"/>
          <w:sz w:val="32"/>
          <w:szCs w:val="32"/>
        </w:rPr>
        <w:t>（三）报价表。</w:t>
      </w:r>
    </w:p>
    <w:p>
      <w:pPr>
        <w:spacing w:line="560" w:lineRule="exact"/>
        <w:ind w:firstLine="640" w:firstLineChars="200"/>
        <w:jc w:val="left"/>
        <w:rPr>
          <w:rFonts w:eastAsia="仿宋_GB2312" w:cs="Times New Roman"/>
          <w:color w:val="auto"/>
          <w:sz w:val="32"/>
          <w:szCs w:val="32"/>
        </w:rPr>
      </w:pPr>
      <w:r>
        <w:rPr>
          <w:rFonts w:eastAsia="仿宋_GB2312" w:cs="Times New Roman"/>
          <w:color w:val="auto"/>
          <w:sz w:val="32"/>
          <w:szCs w:val="32"/>
        </w:rPr>
        <w:t>（四）项目实施方案。</w:t>
      </w:r>
    </w:p>
    <w:p>
      <w:pPr>
        <w:spacing w:line="560" w:lineRule="exact"/>
        <w:ind w:firstLine="640" w:firstLineChars="200"/>
        <w:jc w:val="left"/>
        <w:rPr>
          <w:rFonts w:eastAsia="仿宋_GB2312" w:cs="Times New Roman"/>
          <w:color w:val="auto"/>
          <w:sz w:val="32"/>
          <w:szCs w:val="32"/>
        </w:rPr>
      </w:pPr>
      <w:r>
        <w:rPr>
          <w:rFonts w:eastAsia="仿宋_GB2312" w:cs="Times New Roman"/>
          <w:color w:val="auto"/>
          <w:sz w:val="32"/>
          <w:szCs w:val="32"/>
        </w:rPr>
        <w:t>（五）公司人员配置、创作实力、履约能力。</w:t>
      </w:r>
    </w:p>
    <w:p>
      <w:pPr>
        <w:spacing w:line="560" w:lineRule="exact"/>
        <w:ind w:firstLine="643" w:firstLineChars="200"/>
        <w:rPr>
          <w:rFonts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rPr>
        <w:t>说明：</w:t>
      </w:r>
    </w:p>
    <w:p>
      <w:pPr>
        <w:spacing w:line="560" w:lineRule="exact"/>
        <w:ind w:firstLine="640" w:firstLineChars="200"/>
        <w:jc w:val="left"/>
        <w:rPr>
          <w:rFonts w:eastAsia="仿宋_GB2312" w:cs="Times New Roman"/>
          <w:color w:val="auto"/>
          <w:sz w:val="32"/>
          <w:szCs w:val="32"/>
        </w:rPr>
      </w:pPr>
      <w:r>
        <w:rPr>
          <w:rFonts w:hint="eastAsia" w:eastAsia="仿宋_GB2312" w:cs="Times New Roman"/>
          <w:color w:val="auto"/>
          <w:sz w:val="32"/>
          <w:szCs w:val="32"/>
        </w:rPr>
        <w:t>1.</w:t>
      </w:r>
      <w:r>
        <w:rPr>
          <w:rFonts w:eastAsia="仿宋_GB2312" w:cs="Times New Roman"/>
          <w:color w:val="auto"/>
          <w:sz w:val="32"/>
          <w:szCs w:val="32"/>
        </w:rPr>
        <w:t xml:space="preserve"> </w:t>
      </w:r>
      <w:r>
        <w:rPr>
          <w:rFonts w:hint="eastAsia" w:eastAsia="仿宋_GB2312" w:cs="Times New Roman"/>
          <w:color w:val="auto"/>
          <w:sz w:val="32"/>
          <w:szCs w:val="32"/>
        </w:rPr>
        <w:t>供应商提供的以上材料为复印件的均应加盖供应商公章。</w:t>
      </w:r>
    </w:p>
    <w:p>
      <w:pPr>
        <w:spacing w:line="560" w:lineRule="exact"/>
        <w:ind w:firstLine="640" w:firstLineChars="200"/>
        <w:jc w:val="left"/>
        <w:rPr>
          <w:rFonts w:eastAsia="仿宋_GB2312" w:cs="Times New Roman"/>
          <w:color w:val="auto"/>
          <w:sz w:val="32"/>
          <w:szCs w:val="32"/>
        </w:rPr>
      </w:pPr>
      <w:r>
        <w:rPr>
          <w:rFonts w:hint="eastAsia" w:eastAsia="仿宋_GB2312" w:cs="Times New Roman"/>
          <w:color w:val="auto"/>
          <w:sz w:val="32"/>
          <w:szCs w:val="32"/>
        </w:rPr>
        <w:t>2.</w:t>
      </w:r>
      <w:r>
        <w:rPr>
          <w:rFonts w:eastAsia="仿宋_GB2312" w:cs="Times New Roman"/>
          <w:color w:val="auto"/>
          <w:sz w:val="32"/>
          <w:szCs w:val="32"/>
        </w:rPr>
        <w:t xml:space="preserve"> </w:t>
      </w:r>
      <w:r>
        <w:rPr>
          <w:rFonts w:hint="eastAsia" w:eastAsia="仿宋_GB2312" w:cs="Times New Roman"/>
          <w:color w:val="auto"/>
          <w:sz w:val="32"/>
          <w:szCs w:val="32"/>
        </w:rPr>
        <w:t>供应商应对其所提供的资格证明材料来源的合法性、真实性负责。</w:t>
      </w:r>
    </w:p>
    <w:p>
      <w:pPr>
        <w:ind w:firstLine="640" w:firstLineChars="200"/>
        <w:rPr>
          <w:rFonts w:eastAsia="黑体" w:cs="Times New Roman"/>
          <w:bCs/>
          <w:color w:val="auto"/>
          <w:sz w:val="32"/>
          <w:szCs w:val="32"/>
        </w:rPr>
      </w:pPr>
      <w:r>
        <w:rPr>
          <w:rFonts w:hint="eastAsia" w:eastAsia="黑体" w:cs="Times New Roman"/>
          <w:bCs/>
          <w:color w:val="auto"/>
          <w:sz w:val="32"/>
          <w:szCs w:val="32"/>
        </w:rPr>
        <w:t>十、评分表</w:t>
      </w:r>
    </w:p>
    <w:tbl>
      <w:tblPr>
        <w:tblStyle w:val="11"/>
        <w:tblpPr w:leftFromText="180" w:rightFromText="180" w:vertAnchor="text" w:horzAnchor="page" w:tblpX="1745" w:tblpY="4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66"/>
        <w:gridCol w:w="1103"/>
        <w:gridCol w:w="1026"/>
        <w:gridCol w:w="313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5" w:hRule="atLeast"/>
        </w:trPr>
        <w:tc>
          <w:tcPr>
            <w:tcW w:w="1066" w:type="dxa"/>
            <w:tcBorders>
              <w:tl2br w:val="nil"/>
              <w:tr2bl w:val="nil"/>
            </w:tcBorders>
            <w:vAlign w:val="center"/>
          </w:tcPr>
          <w:p>
            <w:pPr>
              <w:pStyle w:val="17"/>
              <w:widowControl w:val="0"/>
              <w:spacing w:beforeAutospacing="0" w:afterAutospacing="0" w:line="400" w:lineRule="exact"/>
              <w:jc w:val="center"/>
              <w:rPr>
                <w:rFonts w:ascii="Times New Roman" w:hAnsi="Times New Roman" w:eastAsia="方正仿宋_GBK" w:cs="Times New Roman"/>
                <w:b/>
                <w:color w:val="auto"/>
                <w:sz w:val="24"/>
                <w:szCs w:val="24"/>
                <w:lang w:val="zh-TW" w:eastAsia="zh-TW"/>
              </w:rPr>
            </w:pPr>
            <w:r>
              <w:rPr>
                <w:rFonts w:ascii="Times New Roman" w:hAnsi="Times New Roman" w:eastAsia="方正仿宋_GBK" w:cs="Times New Roman"/>
                <w:b/>
                <w:color w:val="auto"/>
                <w:sz w:val="24"/>
                <w:szCs w:val="24"/>
              </w:rPr>
              <w:t>序号</w:t>
            </w:r>
          </w:p>
        </w:tc>
        <w:tc>
          <w:tcPr>
            <w:tcW w:w="1103" w:type="dxa"/>
            <w:tcBorders>
              <w:tl2br w:val="nil"/>
              <w:tr2bl w:val="nil"/>
            </w:tcBorders>
            <w:vAlign w:val="center"/>
          </w:tcPr>
          <w:p>
            <w:pPr>
              <w:pStyle w:val="17"/>
              <w:widowControl w:val="0"/>
              <w:spacing w:beforeAutospacing="0" w:afterAutospacing="0" w:line="400" w:lineRule="exact"/>
              <w:jc w:val="center"/>
              <w:rPr>
                <w:rFonts w:ascii="Times New Roman" w:hAnsi="Times New Roman" w:eastAsia="方正仿宋_GBK" w:cs="Times New Roman"/>
                <w:b/>
                <w:color w:val="auto"/>
                <w:sz w:val="24"/>
                <w:szCs w:val="24"/>
                <w:lang w:val="zh-TW" w:eastAsia="zh-TW"/>
              </w:rPr>
            </w:pPr>
            <w:r>
              <w:rPr>
                <w:rFonts w:ascii="Times New Roman" w:hAnsi="Times New Roman" w:eastAsia="方正仿宋_GBK" w:cs="Times New Roman"/>
                <w:b/>
                <w:color w:val="auto"/>
                <w:sz w:val="24"/>
                <w:szCs w:val="24"/>
              </w:rPr>
              <w:t>评分</w:t>
            </w:r>
            <w:r>
              <w:rPr>
                <w:rFonts w:ascii="Times New Roman" w:hAnsi="Times New Roman" w:eastAsia="方正仿宋_GBK" w:cs="Times New Roman"/>
                <w:b/>
                <w:color w:val="auto"/>
                <w:sz w:val="24"/>
                <w:szCs w:val="24"/>
              </w:rPr>
              <w:br w:type="textWrapping"/>
            </w:r>
            <w:r>
              <w:rPr>
                <w:rFonts w:ascii="Times New Roman" w:hAnsi="Times New Roman" w:eastAsia="方正仿宋_GBK" w:cs="Times New Roman"/>
                <w:b/>
                <w:color w:val="auto"/>
                <w:sz w:val="24"/>
                <w:szCs w:val="24"/>
              </w:rPr>
              <w:t>因素</w:t>
            </w:r>
          </w:p>
        </w:tc>
        <w:tc>
          <w:tcPr>
            <w:tcW w:w="1026" w:type="dxa"/>
            <w:tcBorders>
              <w:tl2br w:val="nil"/>
              <w:tr2bl w:val="nil"/>
            </w:tcBorders>
            <w:vAlign w:val="center"/>
          </w:tcPr>
          <w:p>
            <w:pPr>
              <w:pStyle w:val="17"/>
              <w:widowControl w:val="0"/>
              <w:spacing w:beforeAutospacing="0" w:afterAutospacing="0" w:line="400" w:lineRule="exact"/>
              <w:jc w:val="center"/>
              <w:rPr>
                <w:rFonts w:ascii="Times New Roman" w:hAnsi="Times New Roman" w:eastAsia="方正仿宋_GBK" w:cs="Times New Roman"/>
                <w:b/>
                <w:color w:val="auto"/>
                <w:sz w:val="24"/>
                <w:szCs w:val="24"/>
                <w:lang w:val="zh-TW" w:eastAsia="zh-TW"/>
              </w:rPr>
            </w:pPr>
            <w:r>
              <w:rPr>
                <w:rFonts w:ascii="Times New Roman" w:hAnsi="Times New Roman" w:eastAsia="方正仿宋_GBK" w:cs="Times New Roman"/>
                <w:b/>
                <w:color w:val="auto"/>
                <w:sz w:val="24"/>
                <w:szCs w:val="24"/>
              </w:rPr>
              <w:t>分值</w:t>
            </w:r>
          </w:p>
        </w:tc>
        <w:tc>
          <w:tcPr>
            <w:tcW w:w="3130" w:type="dxa"/>
            <w:tcBorders>
              <w:tl2br w:val="nil"/>
              <w:tr2bl w:val="nil"/>
            </w:tcBorders>
            <w:vAlign w:val="center"/>
          </w:tcPr>
          <w:p>
            <w:pPr>
              <w:pStyle w:val="17"/>
              <w:widowControl w:val="0"/>
              <w:spacing w:beforeAutospacing="0" w:afterAutospacing="0" w:line="400" w:lineRule="exact"/>
              <w:jc w:val="center"/>
              <w:rPr>
                <w:rFonts w:ascii="Times New Roman" w:hAnsi="Times New Roman" w:eastAsia="方正仿宋_GBK" w:cs="Times New Roman"/>
                <w:b/>
                <w:color w:val="auto"/>
                <w:sz w:val="24"/>
                <w:szCs w:val="24"/>
                <w:lang w:val="zh-TW" w:eastAsia="zh-TW"/>
              </w:rPr>
            </w:pPr>
            <w:r>
              <w:rPr>
                <w:rFonts w:ascii="Times New Roman" w:hAnsi="Times New Roman" w:eastAsia="方正仿宋_GBK" w:cs="Times New Roman"/>
                <w:b/>
                <w:color w:val="auto"/>
                <w:sz w:val="24"/>
                <w:szCs w:val="24"/>
              </w:rPr>
              <w:t>评分标准</w:t>
            </w:r>
          </w:p>
        </w:tc>
        <w:tc>
          <w:tcPr>
            <w:tcW w:w="2420" w:type="dxa"/>
            <w:tcBorders>
              <w:tl2br w:val="nil"/>
              <w:tr2bl w:val="nil"/>
            </w:tcBorders>
            <w:vAlign w:val="center"/>
          </w:tcPr>
          <w:p>
            <w:pPr>
              <w:pStyle w:val="17"/>
              <w:widowControl w:val="0"/>
              <w:spacing w:line="400" w:lineRule="exact"/>
              <w:jc w:val="center"/>
              <w:rPr>
                <w:rFonts w:ascii="Times New Roman" w:hAnsi="Times New Roman" w:eastAsia="方正仿宋_GBK" w:cs="Times New Roman"/>
                <w:b/>
                <w:color w:val="auto"/>
                <w:sz w:val="24"/>
                <w:szCs w:val="24"/>
                <w:lang w:val="zh-TW" w:eastAsia="zh-TW"/>
              </w:rPr>
            </w:pPr>
            <w:r>
              <w:rPr>
                <w:rFonts w:ascii="Times New Roman" w:hAnsi="Times New Roman" w:eastAsia="方正仿宋_GBK" w:cs="Times New Roman"/>
                <w:b/>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0" w:hRule="atLeast"/>
        </w:trPr>
        <w:tc>
          <w:tcPr>
            <w:tcW w:w="1066" w:type="dxa"/>
            <w:tcBorders>
              <w:tl2br w:val="nil"/>
              <w:tr2bl w:val="nil"/>
            </w:tcBorders>
            <w:vAlign w:val="center"/>
          </w:tcPr>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Cs/>
                <w:color w:val="auto"/>
                <w:sz w:val="24"/>
                <w:szCs w:val="24"/>
                <w:lang w:val="en-US" w:eastAsia="zh-CN"/>
              </w:rPr>
              <w:t>1</w:t>
            </w:r>
          </w:p>
        </w:tc>
        <w:tc>
          <w:tcPr>
            <w:tcW w:w="1103" w:type="dxa"/>
            <w:tcBorders>
              <w:tl2br w:val="nil"/>
              <w:tr2bl w:val="nil"/>
            </w:tcBorders>
            <w:vAlign w:val="center"/>
          </w:tcPr>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Cs/>
                <w:color w:val="auto"/>
                <w:sz w:val="24"/>
                <w:szCs w:val="24"/>
                <w:lang w:val="en-US" w:eastAsia="zh-CN"/>
              </w:rPr>
              <w:t>报价</w:t>
            </w:r>
          </w:p>
        </w:tc>
        <w:tc>
          <w:tcPr>
            <w:tcW w:w="1026" w:type="dxa"/>
            <w:tcBorders>
              <w:tl2br w:val="nil"/>
              <w:tr2bl w:val="nil"/>
            </w:tcBorders>
            <w:vAlign w:val="center"/>
          </w:tcPr>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3</w:t>
            </w:r>
            <w:r>
              <w:rPr>
                <w:rFonts w:hint="default" w:ascii="Times New Roman" w:hAnsi="Times New Roman" w:eastAsia="仿宋_GB2312" w:cs="Times New Roman"/>
                <w:bCs/>
                <w:color w:val="auto"/>
                <w:sz w:val="24"/>
                <w:szCs w:val="24"/>
                <w:lang w:val="en-US" w:eastAsia="zh-CN"/>
              </w:rPr>
              <w:t>0分</w:t>
            </w:r>
          </w:p>
        </w:tc>
        <w:tc>
          <w:tcPr>
            <w:tcW w:w="3130" w:type="dxa"/>
            <w:tcBorders>
              <w:tl2br w:val="nil"/>
              <w:tr2bl w:val="nil"/>
            </w:tcBorders>
            <w:vAlign w:val="center"/>
          </w:tcPr>
          <w:p>
            <w:pPr>
              <w:pStyle w:val="17"/>
              <w:widowControl w:val="0"/>
              <w:spacing w:beforeAutospacing="0" w:afterAutospacing="0" w:line="400" w:lineRule="exact"/>
              <w:jc w:val="both"/>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Cs/>
                <w:color w:val="auto"/>
                <w:sz w:val="24"/>
                <w:szCs w:val="24"/>
                <w:lang w:val="en-US" w:eastAsia="zh-CN"/>
              </w:rPr>
              <w:t xml:space="preserve">以最低报价为基准价，报价得分=(基准价／投标报价)* </w:t>
            </w:r>
            <w:r>
              <w:rPr>
                <w:rFonts w:hint="eastAsia" w:ascii="Times New Roman" w:hAnsi="Times New Roman" w:eastAsia="仿宋_GB2312" w:cs="Times New Roman"/>
                <w:bCs/>
                <w:color w:val="auto"/>
                <w:sz w:val="24"/>
                <w:szCs w:val="24"/>
                <w:lang w:val="en-US" w:eastAsia="zh-CN"/>
              </w:rPr>
              <w:t>3</w:t>
            </w:r>
            <w:r>
              <w:rPr>
                <w:rFonts w:hint="default" w:ascii="Times New Roman" w:hAnsi="Times New Roman" w:eastAsia="仿宋_GB2312" w:cs="Times New Roman"/>
                <w:bCs/>
                <w:color w:val="auto"/>
                <w:sz w:val="24"/>
                <w:szCs w:val="24"/>
                <w:lang w:val="en-US" w:eastAsia="zh-CN"/>
              </w:rPr>
              <w:t>0分*100%。</w:t>
            </w:r>
          </w:p>
        </w:tc>
        <w:tc>
          <w:tcPr>
            <w:tcW w:w="2420" w:type="dxa"/>
            <w:tcBorders>
              <w:tl2br w:val="nil"/>
              <w:tr2bl w:val="nil"/>
            </w:tcBorders>
            <w:vAlign w:val="center"/>
          </w:tcPr>
          <w:p>
            <w:pPr>
              <w:pStyle w:val="17"/>
              <w:widowControl w:val="0"/>
              <w:spacing w:beforeAutospacing="0" w:afterAutospacing="0" w:line="400" w:lineRule="exact"/>
              <w:jc w:val="both"/>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Cs/>
                <w:color w:val="auto"/>
                <w:sz w:val="24"/>
                <w:szCs w:val="24"/>
                <w:lang w:val="en-US" w:eastAsia="zh-CN"/>
              </w:rPr>
              <w:t>四舍五入，保留小数点后一位。</w:t>
            </w:r>
          </w:p>
          <w:p>
            <w:pPr>
              <w:pStyle w:val="17"/>
              <w:widowControl w:val="0"/>
              <w:spacing w:beforeAutospacing="0" w:afterAutospacing="0" w:line="400" w:lineRule="exact"/>
              <w:jc w:val="both"/>
              <w:rPr>
                <w:rFonts w:hint="default" w:ascii="Times New Roman" w:hAnsi="Times New Roman" w:eastAsia="仿宋_GB2312" w:cs="Times New Roman"/>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90" w:hRule="atLeast"/>
        </w:trPr>
        <w:tc>
          <w:tcPr>
            <w:tcW w:w="1066" w:type="dxa"/>
            <w:tcBorders>
              <w:tl2br w:val="nil"/>
              <w:tr2bl w:val="nil"/>
            </w:tcBorders>
            <w:vAlign w:val="center"/>
          </w:tcPr>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Cs/>
                <w:color w:val="auto"/>
                <w:sz w:val="24"/>
                <w:szCs w:val="24"/>
                <w:lang w:val="en-US" w:eastAsia="zh-CN"/>
              </w:rPr>
              <w:t>2</w:t>
            </w:r>
          </w:p>
        </w:tc>
        <w:tc>
          <w:tcPr>
            <w:tcW w:w="1103" w:type="dxa"/>
            <w:tcBorders>
              <w:tl2br w:val="nil"/>
              <w:tr2bl w:val="nil"/>
            </w:tcBorders>
            <w:vAlign w:val="center"/>
          </w:tcPr>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实施方案</w:t>
            </w:r>
          </w:p>
        </w:tc>
        <w:tc>
          <w:tcPr>
            <w:tcW w:w="1026" w:type="dxa"/>
            <w:tcBorders>
              <w:tl2br w:val="nil"/>
              <w:tr2bl w:val="nil"/>
            </w:tcBorders>
            <w:vAlign w:val="center"/>
          </w:tcPr>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40</w:t>
            </w:r>
            <w:r>
              <w:rPr>
                <w:rFonts w:hint="default" w:ascii="Times New Roman" w:hAnsi="Times New Roman" w:eastAsia="仿宋_GB2312" w:cs="Times New Roman"/>
                <w:bCs/>
                <w:color w:val="auto"/>
                <w:sz w:val="24"/>
                <w:szCs w:val="24"/>
                <w:lang w:val="en-US" w:eastAsia="zh-CN"/>
              </w:rPr>
              <w:t>分</w:t>
            </w:r>
          </w:p>
        </w:tc>
        <w:tc>
          <w:tcPr>
            <w:tcW w:w="3130" w:type="dxa"/>
            <w:tcBorders>
              <w:tl2br w:val="nil"/>
              <w:tr2bl w:val="nil"/>
            </w:tcBorders>
            <w:vAlign w:val="center"/>
          </w:tcPr>
          <w:p>
            <w:pPr>
              <w:pStyle w:val="17"/>
              <w:widowControl w:val="0"/>
              <w:spacing w:beforeAutospacing="0" w:afterAutospacing="0" w:line="400" w:lineRule="exact"/>
              <w:jc w:val="both"/>
              <w:rPr>
                <w:rFonts w:hint="default"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提供详尽的项目执行方案，需对应采购要求的6项任务，缺少1项扣6分，方案执行性不强适当扣分。</w:t>
            </w:r>
          </w:p>
        </w:tc>
        <w:tc>
          <w:tcPr>
            <w:tcW w:w="2420" w:type="dxa"/>
            <w:tcBorders>
              <w:tl2br w:val="nil"/>
              <w:tr2bl w:val="nil"/>
            </w:tcBorders>
            <w:vAlign w:val="center"/>
          </w:tcPr>
          <w:p>
            <w:pPr>
              <w:pStyle w:val="17"/>
              <w:widowControl w:val="0"/>
              <w:spacing w:beforeAutospacing="0" w:afterAutospacing="0" w:line="400" w:lineRule="exact"/>
              <w:jc w:val="both"/>
              <w:rPr>
                <w:rFonts w:hint="default"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3" w:hRule="atLeast"/>
        </w:trPr>
        <w:tc>
          <w:tcPr>
            <w:tcW w:w="1066" w:type="dxa"/>
            <w:tcBorders>
              <w:tl2br w:val="nil"/>
              <w:tr2bl w:val="nil"/>
            </w:tcBorders>
            <w:vAlign w:val="center"/>
          </w:tcPr>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Cs/>
                <w:color w:val="auto"/>
                <w:sz w:val="24"/>
                <w:szCs w:val="24"/>
                <w:lang w:val="en-US" w:eastAsia="zh-CN"/>
              </w:rPr>
              <w:t>3</w:t>
            </w:r>
          </w:p>
        </w:tc>
        <w:tc>
          <w:tcPr>
            <w:tcW w:w="1103" w:type="dxa"/>
            <w:tcBorders>
              <w:tl2br w:val="nil"/>
              <w:tr2bl w:val="nil"/>
            </w:tcBorders>
            <w:vAlign w:val="center"/>
          </w:tcPr>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综合实力</w:t>
            </w:r>
          </w:p>
        </w:tc>
        <w:tc>
          <w:tcPr>
            <w:tcW w:w="1026" w:type="dxa"/>
            <w:tcBorders>
              <w:tl2br w:val="nil"/>
              <w:tr2bl w:val="nil"/>
            </w:tcBorders>
            <w:vAlign w:val="center"/>
          </w:tcPr>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30分</w:t>
            </w:r>
          </w:p>
        </w:tc>
        <w:tc>
          <w:tcPr>
            <w:tcW w:w="3130" w:type="dxa"/>
            <w:tcBorders>
              <w:tl2br w:val="nil"/>
              <w:tr2bl w:val="nil"/>
            </w:tcBorders>
            <w:vAlign w:val="center"/>
          </w:tcPr>
          <w:p>
            <w:pPr>
              <w:pStyle w:val="17"/>
              <w:widowControl w:val="0"/>
              <w:spacing w:beforeAutospacing="0" w:afterAutospacing="0" w:line="400" w:lineRule="exact"/>
              <w:jc w:val="both"/>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Cs/>
                <w:color w:val="auto"/>
                <w:sz w:val="24"/>
                <w:szCs w:val="24"/>
                <w:lang w:val="en-US" w:eastAsia="zh-CN"/>
              </w:rPr>
              <w:t>1.提供导排人才，具备国家二级</w:t>
            </w:r>
            <w:r>
              <w:rPr>
                <w:rFonts w:hint="eastAsia" w:ascii="Times New Roman" w:hAnsi="Times New Roman" w:eastAsia="仿宋_GB2312" w:cs="Times New Roman"/>
                <w:bCs/>
                <w:color w:val="auto"/>
                <w:sz w:val="24"/>
                <w:szCs w:val="24"/>
                <w:lang w:val="en-US" w:eastAsia="zh-CN"/>
              </w:rPr>
              <w:t>及</w:t>
            </w:r>
            <w:r>
              <w:rPr>
                <w:rFonts w:hint="default" w:ascii="Times New Roman" w:hAnsi="Times New Roman" w:eastAsia="仿宋_GB2312" w:cs="Times New Roman"/>
                <w:bCs/>
                <w:color w:val="auto"/>
                <w:sz w:val="24"/>
                <w:szCs w:val="24"/>
                <w:lang w:val="en-US" w:eastAsia="zh-CN"/>
              </w:rPr>
              <w:t>以上导演资质或在本行业具有一定影响力，获得省级及以上奖项或承担省级以上研究课题的；每提供1人得5分，最高10分；2.提供作曲人才</w:t>
            </w:r>
            <w:r>
              <w:rPr>
                <w:rFonts w:hint="eastAsia" w:ascii="Times New Roman" w:hAnsi="Times New Roman" w:eastAsia="仿宋_GB2312" w:cs="Times New Roman"/>
                <w:bCs/>
                <w:color w:val="auto"/>
                <w:sz w:val="24"/>
                <w:szCs w:val="24"/>
                <w:lang w:val="en-US" w:eastAsia="zh-CN"/>
              </w:rPr>
              <w:t>，</w:t>
            </w:r>
            <w:r>
              <w:rPr>
                <w:rFonts w:hint="default" w:ascii="Times New Roman" w:hAnsi="Times New Roman" w:eastAsia="仿宋_GB2312" w:cs="Times New Roman"/>
                <w:bCs/>
                <w:color w:val="auto"/>
                <w:sz w:val="24"/>
                <w:szCs w:val="24"/>
                <w:lang w:val="en-US" w:eastAsia="zh-CN"/>
              </w:rPr>
              <w:t>具备国家二级</w:t>
            </w:r>
            <w:r>
              <w:rPr>
                <w:rFonts w:hint="eastAsia" w:ascii="Times New Roman" w:hAnsi="Times New Roman" w:eastAsia="仿宋_GB2312" w:cs="Times New Roman"/>
                <w:bCs/>
                <w:color w:val="auto"/>
                <w:sz w:val="24"/>
                <w:szCs w:val="24"/>
                <w:lang w:val="en-US" w:eastAsia="zh-CN"/>
              </w:rPr>
              <w:t>及</w:t>
            </w:r>
            <w:r>
              <w:rPr>
                <w:rFonts w:hint="default" w:ascii="Times New Roman" w:hAnsi="Times New Roman" w:eastAsia="仿宋_GB2312" w:cs="Times New Roman"/>
                <w:bCs/>
                <w:color w:val="auto"/>
                <w:sz w:val="24"/>
                <w:szCs w:val="24"/>
                <w:lang w:val="en-US" w:eastAsia="zh-CN"/>
              </w:rPr>
              <w:t>以上导演资质或在本行业具有一定影响力，获得省级及以上奖项或承担省级以上研究课题的；每提供1人得5分，最高10分；3.提供团队或团队人员获得省级及以上等次文化艺术类奖佐证资料，每提供一项得5分，最高10分。</w:t>
            </w:r>
          </w:p>
        </w:tc>
        <w:tc>
          <w:tcPr>
            <w:tcW w:w="2420" w:type="dxa"/>
            <w:tcBorders>
              <w:tl2br w:val="nil"/>
              <w:tr2bl w:val="nil"/>
            </w:tcBorders>
            <w:vAlign w:val="center"/>
          </w:tcPr>
          <w:p>
            <w:pPr>
              <w:pStyle w:val="17"/>
              <w:widowControl w:val="0"/>
              <w:spacing w:beforeAutospacing="0" w:afterAutospacing="0" w:line="400" w:lineRule="exact"/>
              <w:jc w:val="both"/>
              <w:rPr>
                <w:rFonts w:hint="default"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提供资质复印件，获奖证书复印件。</w:t>
            </w:r>
          </w:p>
        </w:tc>
      </w:tr>
    </w:tbl>
    <w:p>
      <w:pPr>
        <w:pStyle w:val="17"/>
        <w:widowControl w:val="0"/>
        <w:spacing w:beforeAutospacing="0" w:afterAutospacing="0" w:line="400" w:lineRule="exact"/>
        <w:jc w:val="center"/>
        <w:rPr>
          <w:rFonts w:hint="default" w:ascii="Times New Roman" w:hAnsi="Times New Roman" w:eastAsia="仿宋_GB2312" w:cs="Times New Roman"/>
          <w:bCs/>
          <w:color w:val="auto"/>
          <w:sz w:val="24"/>
          <w:szCs w:val="24"/>
          <w:lang w:val="en-US" w:eastAsia="zh-CN"/>
        </w:rPr>
      </w:pPr>
    </w:p>
    <w:p>
      <w:pPr>
        <w:rPr>
          <w:rFonts w:ascii="方正仿宋_GBK" w:hAnsi="方正仿宋_GBK" w:eastAsia="方正仿宋_GBK" w:cs="方正仿宋_GBK"/>
          <w:color w:val="auto"/>
          <w:sz w:val="32"/>
          <w:szCs w:val="32"/>
        </w:rPr>
      </w:pPr>
    </w:p>
    <w:sectPr>
      <w:footerReference r:id="rId3" w:type="default"/>
      <w:footerReference r:id="rId4" w:type="even"/>
      <w:pgSz w:w="11906" w:h="16839"/>
      <w:pgMar w:top="2097" w:right="1474" w:bottom="1984" w:left="1587" w:header="850"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B04C9B-57A1-4AFB-A927-7E1B4A4DC1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公文小标宋">
    <w:panose1 w:val="02000500000000000000"/>
    <w:charset w:val="86"/>
    <w:family w:val="auto"/>
    <w:pitch w:val="default"/>
    <w:sig w:usb0="A00002BF" w:usb1="38CF7CFA" w:usb2="00000016" w:usb3="00000000" w:csb0="00040001" w:csb1="00000000"/>
    <w:embedRegular r:id="rId2" w:fontKey="{D4C881B9-9530-4118-A5E8-F733A1F46686}"/>
  </w:font>
  <w:font w:name="方正仿宋_GBK">
    <w:panose1 w:val="03000509000000000000"/>
    <w:charset w:val="86"/>
    <w:family w:val="auto"/>
    <w:pitch w:val="default"/>
    <w:sig w:usb0="00000001" w:usb1="080E0000" w:usb2="00000000" w:usb3="00000000" w:csb0="00040000" w:csb1="00000000"/>
    <w:embedRegular r:id="rId3" w:fontKey="{8EA0748E-46EB-4077-A761-41758615EB6F}"/>
  </w:font>
  <w:font w:name="仿宋_GB2312">
    <w:panose1 w:val="02010609030101010101"/>
    <w:charset w:val="86"/>
    <w:family w:val="auto"/>
    <w:pitch w:val="default"/>
    <w:sig w:usb0="00000001" w:usb1="080E0000" w:usb2="00000000" w:usb3="00000000" w:csb0="00040000" w:csb1="00000000"/>
    <w:embedRegular r:id="rId4" w:fontKey="{C1627DC3-0D76-4D97-8A2B-5C50BAEBEF84}"/>
  </w:font>
  <w:font w:name="方正黑体_GBK">
    <w:panose1 w:val="03000509000000000000"/>
    <w:charset w:val="86"/>
    <w:family w:val="script"/>
    <w:pitch w:val="default"/>
    <w:sig w:usb0="00000001" w:usb1="080E0000" w:usb2="00000000" w:usb3="00000000" w:csb0="00040000" w:csb1="00000000"/>
    <w:embedRegular r:id="rId5" w:fontKey="{6C36E611-32FB-4AB0-AADD-02B15489B796}"/>
  </w:font>
  <w:font w:name="方正楷体_GBK">
    <w:panose1 w:val="03000509000000000000"/>
    <w:charset w:val="86"/>
    <w:family w:val="auto"/>
    <w:pitch w:val="default"/>
    <w:sig w:usb0="00000001" w:usb1="080E0000" w:usb2="00000000" w:usb3="00000000" w:csb0="00040000" w:csb1="00000000"/>
    <w:embedRegular r:id="rId6" w:fontKey="{3A379A28-DF96-47C4-B86C-8B31324E79D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OGUzZTk3MzdjODIxMTMzY2MwOGM1Zjg4NzZmODE2YzQifQ=="/>
  </w:docVars>
  <w:rsids>
    <w:rsidRoot w:val="00000000"/>
    <w:rsid w:val="006A1D80"/>
    <w:rsid w:val="1D0D38B9"/>
    <w:rsid w:val="2C536736"/>
    <w:rsid w:val="3B601BF5"/>
    <w:rsid w:val="40D7128C"/>
    <w:rsid w:val="43F003F8"/>
    <w:rsid w:val="54CC5154"/>
    <w:rsid w:val="55D12837"/>
    <w:rsid w:val="5BF81A80"/>
    <w:rsid w:val="61B01959"/>
    <w:rsid w:val="65660CAD"/>
    <w:rsid w:val="65C379B7"/>
    <w:rsid w:val="67BF46A4"/>
    <w:rsid w:val="739538E7"/>
    <w:rsid w:val="7C8E4220"/>
    <w:rsid w:val="7CE11C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w:kern w:val="2"/>
      <w:sz w:val="21"/>
      <w:szCs w:val="21"/>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link w:val="15"/>
    <w:qFormat/>
    <w:uiPriority w:val="0"/>
    <w:pPr>
      <w:keepNext/>
      <w:keepLines/>
      <w:spacing w:before="260" w:after="260" w:line="415" w:lineRule="auto"/>
      <w:outlineLvl w:val="1"/>
    </w:pPr>
    <w:rPr>
      <w:rFonts w:eastAsia="黑体"/>
      <w:b/>
      <w:bCs/>
      <w:sz w:val="32"/>
      <w:szCs w:val="32"/>
    </w:rPr>
  </w:style>
  <w:style w:type="paragraph" w:styleId="4">
    <w:name w:val="heading 3"/>
    <w:basedOn w:val="1"/>
    <w:next w:val="1"/>
    <w:link w:val="16"/>
    <w:qFormat/>
    <w:uiPriority w:val="0"/>
    <w:pPr>
      <w:keepNext/>
      <w:keepLines/>
      <w:spacing w:before="260" w:after="260" w:line="415" w:lineRule="auto"/>
      <w:outlineLvl w:val="2"/>
    </w:pPr>
    <w:rPr>
      <w:b/>
      <w:bCs/>
      <w:sz w:val="32"/>
      <w:szCs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rFonts w:cs="Times New Roman"/>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7"/>
    <w:basedOn w:val="1"/>
    <w:next w:val="1"/>
    <w:autoRedefine/>
    <w:qFormat/>
    <w:uiPriority w:val="0"/>
    <w:pPr>
      <w:ind w:left="2520"/>
    </w:pPr>
  </w:style>
  <w:style w:type="paragraph" w:styleId="9">
    <w:name w:val="table of figures"/>
    <w:basedOn w:val="1"/>
    <w:next w:val="1"/>
    <w:qFormat/>
    <w:uiPriority w:val="0"/>
    <w:pPr>
      <w:ind w:left="400" w:leftChars="200" w:hanging="200" w:hangingChars="200"/>
    </w:pPr>
  </w:style>
  <w:style w:type="paragraph" w:styleId="10">
    <w:name w:val="Normal (Web)"/>
    <w:basedOn w:val="1"/>
    <w:qFormat/>
    <w:uiPriority w:val="0"/>
    <w:pPr>
      <w:jc w:val="left"/>
    </w:pPr>
    <w:rPr>
      <w:rFonts w:cs="Times New Roman"/>
      <w:kern w:val="0"/>
      <w:sz w:val="24"/>
      <w:szCs w:val="24"/>
    </w:rPr>
  </w:style>
  <w:style w:type="character" w:styleId="13">
    <w:name w:val="Emphasis"/>
    <w:basedOn w:val="12"/>
    <w:qFormat/>
    <w:uiPriority w:val="0"/>
    <w:rPr>
      <w:i/>
    </w:rPr>
  </w:style>
  <w:style w:type="character" w:customStyle="1" w:styleId="14">
    <w:name w:val="heading 1 Char"/>
    <w:basedOn w:val="12"/>
    <w:link w:val="2"/>
    <w:qFormat/>
    <w:uiPriority w:val="0"/>
    <w:rPr>
      <w:rFonts w:ascii="Times New Roman" w:hAnsi="Times New Roman" w:eastAsia="宋体" w:cs="Arial"/>
      <w:b/>
      <w:bCs/>
      <w:kern w:val="44"/>
      <w:sz w:val="44"/>
      <w:szCs w:val="44"/>
      <w:lang w:val="en-US" w:eastAsia="zh-CN" w:bidi="ar-SA"/>
    </w:rPr>
  </w:style>
  <w:style w:type="character" w:customStyle="1" w:styleId="15">
    <w:name w:val="heading 2 Char"/>
    <w:basedOn w:val="12"/>
    <w:link w:val="3"/>
    <w:qFormat/>
    <w:uiPriority w:val="0"/>
    <w:rPr>
      <w:rFonts w:ascii="Times New Roman" w:hAnsi="Times New Roman" w:eastAsia="黑体" w:cs="Arial"/>
      <w:b/>
      <w:bCs/>
      <w:kern w:val="2"/>
      <w:sz w:val="32"/>
      <w:szCs w:val="32"/>
      <w:lang w:val="en-US" w:eastAsia="zh-CN" w:bidi="ar-SA"/>
    </w:rPr>
  </w:style>
  <w:style w:type="character" w:customStyle="1" w:styleId="16">
    <w:name w:val="heading 3 Char"/>
    <w:basedOn w:val="12"/>
    <w:link w:val="4"/>
    <w:qFormat/>
    <w:uiPriority w:val="0"/>
    <w:rPr>
      <w:rFonts w:ascii="Times New Roman" w:hAnsi="Times New Roman" w:eastAsia="宋体" w:cs="Arial"/>
      <w:b/>
      <w:bCs/>
      <w:kern w:val="2"/>
      <w:sz w:val="32"/>
      <w:szCs w:val="32"/>
      <w:lang w:val="en-US" w:eastAsia="zh-CN" w:bidi="ar-SA"/>
    </w:rPr>
  </w:style>
  <w:style w:type="paragraph" w:customStyle="1" w:styleId="17">
    <w:name w:val="正文 A"/>
    <w:qFormat/>
    <w:uiPriority w:val="0"/>
    <w:rPr>
      <w:rFonts w:ascii="Arial Unicode MS" w:hAnsi="Arial Unicode MS"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
        <a:ea typeface=""/>
        <a:cs typeface=""/>
      </a:majorFont>
      <a:minorFont>
        <a:latin type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1"/>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1"/>
        </a:gradFill>
      </a:fillStyleLst>
      <a:lnStyleLst>
        <a:ln w="6350" cap="flat" cmpd="sng">
          <a:solidFill>
            <a:schemeClr val="phClr"/>
          </a:solidFill>
          <a:prstDash val="solid"/>
          <a:miter/>
        </a:ln>
        <a:ln w="12700" cap="flat" cmpd="sng">
          <a:solidFill>
            <a:schemeClr val="phClr"/>
          </a:solidFill>
          <a:prstDash val="solid"/>
          <a:miter/>
        </a:ln>
        <a:ln w="19050" cap="flat" cmpd="sng">
          <a:solidFill>
            <a:schemeClr val="phClr"/>
          </a:solidFill>
          <a:prstDash val="solid"/>
          <a:miter/>
        </a:ln>
      </a:lnStyleLst>
      <a:effectStyleLst>
        <a:effectStyle>
          <a:effectLst/>
        </a:effectStyle>
        <a:effectStyle>
          <a:effectLst/>
        </a:effectStyle>
        <a:effectStyle>
          <a:effectLst>
            <a:outerShdw blurRad="57150" dist="19050" dir="5400000" rotWithShape="0">
              <a:srgbClr val="000000">
                <a:alpha val="62745"/>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1"/>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ustomData xmlns="http://www.yozosoft.com.cn/officeDocument/2016/customData">
  <customProps>
    <docPr revisions="3 0 5 0 -1 0 1 0 0 0 3000 0 1 1 1 1"/>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784A37-8581-48E6-947F-3E0DBAAEA0EC}">
  <ds:schemaRefs/>
</ds:datastoreItem>
</file>

<file path=docProps/app.xml><?xml version="1.0" encoding="utf-8"?>
<Properties xmlns="http://schemas.openxmlformats.org/officeDocument/2006/extended-properties" xmlns:vt="http://schemas.openxmlformats.org/officeDocument/2006/docPropsVTypes">
  <Template>Normal.eit</Template>
  <Pages>5</Pages>
  <Words>2233</Words>
  <Characters>2312</Characters>
  <Lines>0</Lines>
  <Paragraphs>75</Paragraphs>
  <TotalTime>142</TotalTime>
  <ScaleCrop>false</ScaleCrop>
  <LinksUpToDate>false</LinksUpToDate>
  <CharactersWithSpaces>2344</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2024-06-04T08:23:00Z</dcterms:created>
  <dc:creator>Administrator</dc:creator>
  <cp:lastModifiedBy>李金（宣推科）</cp:lastModifiedBy>
  <dcterms:modified xsi:type="dcterms:W3CDTF">2024-06-07T10:45:46Z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7838F4D906834BA6BABC0E70401059BE_13</vt:lpwstr>
  </property>
</Properties>
</file>